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which section has a greater percentage of students with scores at or below 30, we must analyze the provided box plots by identifying the minimum values and the distribution of the data relative to the quartiles.</w:t>
      </w:r>
    </w:p>
    <w:p>
      <w:pPr>
        <w:pStyle w:val="Normal"/>
      </w:pPr>
      <w:r>
        <w:t xml:space="preserve"/>
      </w:r>
    </w:p>
    <w:p>
      <w:pPr>
        <w:pStyle w:val="Normal"/>
      </w:pPr>
      <w:r>
        <w:t xml:space="preserve">1.  **Analyze Section A:** The left whisker of the box plot for Section A starts at 20. This indicates that the minimum score in Section A is 20. The first quartile ($Q_1$), which represents the 25th percentile, is located at approximately 40. Since the data between the minimum (20) and $Q_1$ (40) represents 25% of the total distribution, we know that some, but not all, of that 25% lies at or below 30.</w:t>
      </w:r>
    </w:p>
    <w:p>
      <w:pPr>
        <w:pStyle w:val="Normal"/>
      </w:pPr>
      <w:r>
        <w:t xml:space="preserve">2.  **Analyze Section B:** The left whisker of the box plot for Section B starts at 10. The first quartile ($Q_1$) for Section B is located at approximately 55. Similar to Section A, the bottom 25% of the data falls between the minimum (10) and $Q_1$ (55). Because the distribution in Section B spans a wider range below the 25th percentile compared to Section A, and the "tail" starts lower (at 10 versus 20), a larger portion of the bottom quartile is concentrated below 30.</w:t>
      </w:r>
    </w:p>
    <w:p>
      <w:pPr>
        <w:pStyle w:val="Normal"/>
      </w:pPr>
      <w:r>
        <w:t xml:space="preserve">3.  **Statistical Conclusion:** In a box plot, the whiskers and the box boundaries represent quartiles (0%, 25%, 50%, 75%, 100%). While we cannot know the exact distribution shape within the quartiles (e.g., whether it is uniform or skewed), we can observe that Section B’s minimum is lower and its first quartile ($Q_1$) is higher than Section A's. However, visually comparing the density relative to the threshold of 30, Section B extends much further into the lower tail. Specifically, the segment from 10 to 30 represents a significant portion of the lower tail for Section B, whereas in Section A, the values are truncated at 20, making the interval of interest (20 to 30) much smaller in total span. </w:t>
      </w:r>
    </w:p>
    <w:p>
      <w:pPr>
        <w:pStyle w:val="Normal"/>
      </w:pPr>
      <w:r>
        <w:t xml:space="preserve"/>
      </w:r>
    </w:p>
    <w:p>
      <w:pPr>
        <w:pStyle w:val="Normal"/>
      </w:pPr>
      <w:r>
        <w:t xml:space="preserve">Given these observations, **Section B** has a lower minimum and a distribution that supports a higher density of students in the range at or below 30.</w:t>
      </w:r>
    </w:p>
    <w:p>
      <w:pPr>
        <w:pStyle w:val="Normal"/>
      </w:pPr>
      <w:r>
        <w:t xml:space="preserve"/>
      </w:r>
    </w:p>
    <w:p>
      <w:pPr>
        <w:pStyle w:val="Normal"/>
      </w:pPr>
      <w:r>
        <w:t xml:space="preserve">**Correct Option: (B) Section 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2026-04-16T21:09:22Z</dcterms:modified>
  <cp:category/>
</cp:coreProperties>
</file>