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**(B) To show the effect sizes that are most compatible with the data under the given model.**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Rationale:</w:t>
      </w:r>
    </w:p>
    <w:p>
      <w:pPr>
        <w:pStyle w:val="Normal"/>
      </w:pPr>
      <w:r>
        <w:t xml:space="preserve">A high-quality graduate-level interpretation of confidence intervals (CIs) necessitates a shift away from the frequentist "coverage probability" definition (which is often misinterpreted by students and practitioners alike) toward a likelihood-based or compatibility-based perspective.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**Why (B) is correct:** Modern statistical discourse—led by organizations like the American Statistical Association (ASA)—emphasizes that a confidence interval should be viewed as a range of parameter values that are "compatible" with the observed data, given the underlying statistical model and its assumptions. It provides a measure of the precision of an estimate and the range of effect sizes that the data suggest are plausible, rather than merely a binary "significance" test.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**Why (A) is incorrect:** While both are measures of uncertainty, they measure different things. A p-value is a functional mapping of a test statistic to a probability space under a specific null hypothesis, whereas a CI provides a range of potential effect sizes. Equating them as "another measurement" is imprecise and ignores the functional utility of the interval's width in assessing precision.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**Why (C) is incorrect:** This describes "null hypothesis significance testing by proxy," which is a common but discouraged practice. Using CIs solely to determine whether the null value is contained within the interval (i.e., a binary "reject/fail to reject" based on whether the interval overlaps zero) essentially treats the CI as a p-value in disguise. This approach ignores the magnitude and clinical/practical significance of the values contained within the interval.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**Why (D) is incorrect:** While both CIs and p-values are frequently subject to cognitive biases and misinterpretations (such as the "inverse probability fallacy"), they remain essential inferential tools. The goal of graduate-level statistics is not to abandon these tools but to use them with an explicit understanding of their limitations and to report them with appropriate caveats regarding the model's assumptions.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2026-04-16T20:46:34Z</dcterms:modified>
  <cp:category/>
</cp:coreProperties>
</file>