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high-quality graduate statistics student, I would first note that the question about the symmetry of the data in question 7 depends on the specific characteristics and visual representation of the data provided in that particular question.</w:t>
      </w:r>
    </w:p>
    <w:p>
      <w:pPr>
        <w:pStyle w:val="Normal"/>
      </w:pPr>
      <w:r>
        <w:t xml:space="preserve"/>
      </w:r>
    </w:p>
    <w:p>
      <w:pPr>
        <w:pStyle w:val="Normal"/>
      </w:pPr>
      <w:r>
        <w:t xml:space="preserve">However, since you have not provided the actual data or a description of it, I am unable to directly assess its symmetry. Generally, a data set is considered symmetric if the shape of its distribution is mirrored around the central point, often related to whether the mean and median are approximately equal or if its histogram is visually balanced on both sides.</w:t>
      </w:r>
    </w:p>
    <w:p>
      <w:pPr>
        <w:pStyle w:val="Normal"/>
      </w:pPr>
      <w:r>
        <w:t xml:space="preserve"/>
      </w:r>
    </w:p>
    <w:p>
      <w:pPr>
        <w:pStyle w:val="Normal"/>
      </w:pPr>
      <w:r>
        <w:t xml:space="preserve">Without additional information, I cannot definitively choose (A) TRUE or (B) FALSE. In a real exam scenario, I would rely on the actual data or visual aids provided in question 7 to make an informed decision.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2025-05-19T17:13:32Z</dcterms:modified>
  <cp:category/>
</cp:coreProperties>
</file>