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most appropriate answer to the question is:</w:t>
      </w:r>
    </w:p>
    <w:p>
      <w:pPr>
        <w:pStyle w:val="Normal"/>
      </w:pPr>
      <w:r>
        <w:t xml:space="preserve"/>
      </w:r>
    </w:p>
    <w:p>
      <w:pPr>
        <w:pStyle w:val="Normal"/>
      </w:pPr>
      <w:r>
        <w:t xml:space="preserve">(A) Observational studies tend to have better external validity than experiments.</w:t>
      </w:r>
    </w:p>
    <w:p>
      <w:pPr>
        <w:pStyle w:val="Normal"/>
      </w:pPr>
      <w:r>
        <w:t xml:space="preserve"/>
      </w:r>
    </w:p>
    <w:p>
      <w:pPr>
        <w:pStyle w:val="Normal"/>
      </w:pPr>
      <w:r>
        <w:t xml:space="preserve">Explanation: Observational studies often have better external validity because they are conducted in natural settings without manipulation by the researcher, which can make the results more generalizable to real-world situations. On the other hand, experiments, by design, control variables to establish causation, which can improve internal validity but may limit external validity due to controlled conditions that might not mimic real-world scenarios.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2025-05-19T16:25:08Z</dcterms:modified>
  <cp:category/>
</cp:coreProperties>
</file>