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To show the effect sizes that are most compatible with the data under the given model.</w:t>
      </w:r>
    </w:p>
    <w:p>
      <w:pPr>
        <w:pStyle w:val="Normal"/>
      </w:pPr>
      <w:r>
        <w:t xml:space="preserve"/>
      </w:r>
    </w:p>
    <w:p>
      <w:pPr>
        <w:pStyle w:val="Normal"/>
      </w:pPr>
      <w:r>
        <w:t xml:space="preserve">Confidence intervals provide a range of values for a parameter estimate, and they illustrate the degree of uncertainty around that estimate. When interpreting confidence intervals, it is important to note that they highlight the range of plausible values for the parameter being estimated, given the data and the model assumptions. This makes them a powerful tool in understanding effect sizes and their uncertainty, helping to contextualize results beyond a simple binary decision as in traditional null hypothesis significance testing.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2025-05-19T16:27:19Z</dcterms:modified>
  <cp:category/>
</cp:coreProperties>
</file>