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**(D) Type 2 error**.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**Type I error**: rejecting the null hypothesis when it is actually true  </w:t>
      </w:r>
    </w:p>
    <w:p>
      <w:pPr>
        <w:pStyle w:val="Normal"/>
      </w:pPr>
      <w:r>
        <w:t xml:space="preserve">- **Type II error**: failing to reject the null hypothesis when it is actually false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Also:</w:t>
      </w:r>
    </w:p>
    <w:p>
      <w:pPr>
        <w:pStyle w:val="Normal"/>
      </w:pPr>
      <w:r>
        <w:t xml:space="preserve">- **\(\alpha\)** is the probability of a Type I error</w:t>
      </w:r>
    </w:p>
    <w:p>
      <w:pPr>
        <w:pStyle w:val="Normal"/>
      </w:pPr>
      <w:r>
        <w:t xml:space="preserve">- **\(\beta\)** is the probability of a Type II error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event described is a **Type 2 error**, and its probability is **beta**.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2026-04-17T10:22:19Z</dcterms:modified>
  <cp:category/>
</cp:coreProperties>
</file>