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**false positive rate** is the proportion of people **without bowel cancer** who tested positive: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\text{FPR}=\frac{\text{False Positives}}{\text{False Positives}+\text{True Negatives}}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False positives = 18  </w:t>
      </w:r>
    </w:p>
    <w:p>
      <w:pPr>
        <w:pStyle w:val="Normal"/>
      </w:pPr>
      <w:r>
        <w:t xml:space="preserve">- True negatives = 182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\text{FPR}=\frac{18}{18+182}=\frac{18}{200}=0.09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**false positive rate is 0.09**, or **9%**.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2026-04-17T10:14:26Z</dcterms:modified>
  <cp:category/>
</cp:coreProperties>
</file>