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Not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student’s conclusion is **not valid** because it is based on a few extreme observations rather than the **overall distribution** of relief times.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Yes, the **old** formula has two very fast times under 20 minutes.</w:t>
      </w:r>
    </w:p>
    <w:p>
      <w:pPr>
        <w:pStyle w:val="Normal"/>
      </w:pPr>
      <w:r>
        <w:t xml:space="preserve">- Yes, the **new** formula appears to have the single worst time, around 120 minutes.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But these are just **outliers/extreme values**. To decide which formula “works better,” we should compare the **center** of the distributions (typical relief time), not just isolated best and worst cases.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dotplots, the **new formula** seems to have most relief times centered around **55–65 minutes**, while the **old formula** is centered farther right, around **70–85 minutes**. Since **smaller time to relief is better**, the new formula appears to provide faster relief overall.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student’s reasoning is flawed, and the conclusion is **not 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2026-04-17T11:23:10Z</dcterms:modified>
  <cp:category/>
</cp:coreProperties>
</file>