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Class B, because more of its scores are far from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 measures **spread around the mean**, not bumpiness, number of distinct values, or just range alone.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A** is tightly clustered around the center.</w:t>
      </w:r>
    </w:p>
    <w:p>
      <w:pPr>
        <w:pStyle w:val="Normal"/>
      </w:pPr>
      <w:r>
        <w:t xml:space="preserve">- **Class D** is also fairly concentrated near the middle despite being irregular.</w:t>
      </w:r>
    </w:p>
    <w:p>
      <w:pPr>
        <w:pStyle w:val="Normal"/>
      </w:pPr>
      <w:r>
        <w:t xml:space="preserve">- **Class E** has a moderate spread and is roughly bell-shaped, but many observations are still near the center.</w:t>
      </w:r>
    </w:p>
    <w:p>
      <w:pPr>
        <w:pStyle w:val="Normal"/>
      </w:pPr>
      <w:r>
        <w:t xml:space="preserve">- **Class C** is spread across many scores, but it looks fairly uniform, so its spread is substantial.</w:t>
      </w:r>
    </w:p>
    <w:p>
      <w:pPr>
        <w:pStyle w:val="Normal"/>
      </w:pPr>
      <w:r>
        <w:t xml:space="preserve">- **Class B** places a lot of observations at the extremes, far from the mean, which increases the standard deviation the most.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class with the **highest standard deviation** is **Class B**.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2026-04-17T11:08:24Z</dcterms:modified>
  <cp:category/>
</cp:coreProperties>
</file>