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(A)**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statistically significant, strong positive **correlation** means that higher income is associated with more recycling in the sample, and because the adults were randomly selected, this association may generalize to U.S. adults.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However, this was an **observational survey**, not a randomized experiment, so we **cannot infer causation**. There could be confounding variables, such as education, neighborhood policies, or access to recycling services.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**Why not (B)?** A sample of 1,000 is generally large enough to detect and estimate relationships.</w:t>
      </w:r>
    </w:p>
    <w:p>
      <w:pPr>
        <w:pStyle w:val="Normal"/>
      </w:pPr>
      <w:r>
        <w:t xml:space="preserve">- **Why not (C)?** Correlation does not imply causation.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best interpretation is **(A)**.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2026-04-17T11:16:55Z</dcterms:modified>
  <cp:category/>
</cp:coreProperties>
</file>