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assess whether **wearing a seatbelt is associated with a lower likelihood of a fatal accident**, we should compare the **fatality rates within each group**: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Seat belt: \( \frac{510}{412{,}878} \)</w:t>
      </w:r>
    </w:p>
    <w:p>
      <w:pPr>
        <w:pStyle w:val="Normal"/>
      </w:pPr>
      <w:r>
        <w:t xml:space="preserve">- No seat belt: \( \frac{1{,}601}{164{,}128} 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These are the proportions of accidents that were fatal **among people in each safety-equipment group**, which is the relevant conditional comparison.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not the others?</w:t>
      </w:r>
    </w:p>
    <w:p>
      <w:pPr>
        <w:pStyle w:val="Normal"/>
      </w:pPr>
      <w:r>
        <w:t xml:space="preserve">- **(B)** uses the same denominator, the grand total \(577{,}006\), for both groups. That does not measure the fatality risk within each group.</w:t>
      </w:r>
    </w:p>
    <w:p>
      <w:pPr>
        <w:pStyle w:val="Normal"/>
      </w:pPr>
      <w:r>
        <w:t xml:space="preserve">- **(C)** compares raw counts only. Since many more people were wearing seatbelts overall, raw numbers are misleading.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most appropriate comparison is **(A) Compare the ratios \(510/412{,}878\) and \(1{,}601/164{,}128\)**.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2026-04-17T11:15:48Z</dcterms:modified>
  <cp:category/>
</cp:coreProperties>
</file>