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(B) Section 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boxplots, both sections have about the same median (around 80), but **Section B** appears more spread out overall in a way that would increase the **standard deviation**: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Section B has a **much lower minimum** than Section A.</w:t>
      </w:r>
    </w:p>
    <w:p>
      <w:pPr>
        <w:pStyle w:val="Normal"/>
      </w:pPr>
      <w:r>
        <w:t xml:space="preserve">- Its scores are spread substantially on both sides of the center.</w:t>
      </w:r>
    </w:p>
    <w:p>
      <w:pPr>
        <w:pStyle w:val="Normal"/>
      </w:pPr>
      <w:r>
        <w:t xml:space="preserve">- Although Section A has a slightly larger upper tail and IQR, Section B’s more extreme lower tail suggests more overall variation about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**standard deviation is sensitive to values far from the mean**, the more extreme low scores in Section B would tend to make its standard deviation larger.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choice is **(B) Section B**.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2026-04-17T11:06:10Z</dcterms:modified>
  <cp:category/>
</cp:coreProperties>
</file>