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We compare where the score **30** falls in each boxplot.</w:t>
      </w:r>
    </w:p>
    <w:p>
      <w:pPr>
        <w:pStyle w:val="Normal"/>
      </w:pPr>
      <w:r>
        <w:t xml:space="preserve"/>
      </w:r>
    </w:p>
    <w:p>
      <w:pPr>
        <w:pStyle w:val="Normal"/>
      </w:pPr>
      <w:r>
        <w:t xml:space="preserve">- **Section A:** The first quartile is about **40**, and the minimum is about **20**. Since **30** is between the minimum and Q1, the percentage at or below 30 is **less than 25%**.</w:t>
      </w:r>
    </w:p>
    <w:p>
      <w:pPr>
        <w:pStyle w:val="Normal"/>
      </w:pPr>
      <w:r>
        <w:t xml:space="preserve">- **Section B:** The first quartile is about **55**, and the minimum is about **10**. Since **30** is also between the minimum and Q1, the percentage at or below 30 is **less than 25%**.</w:t>
      </w:r>
    </w:p>
    <w:p>
      <w:pPr>
        <w:pStyle w:val="Normal"/>
      </w:pPr>
      <w:r>
        <w:t xml:space="preserve"/>
      </w:r>
    </w:p>
    <w:p>
      <w:pPr>
        <w:pStyle w:val="Normal"/>
      </w:pPr>
      <w:r>
        <w:t xml:space="preserve">However, boxplots do **not** show how the data are distributed within each quartile. Since 30 lies inside the lower quartile for both sections, we cannot determine which section has the larger percentage at or below 30.</w:t>
      </w:r>
    </w:p>
    <w:p>
      <w:pPr>
        <w:pStyle w:val="Normal"/>
      </w:pPr>
      <w:r>
        <w:t xml:space="preserve"/>
      </w:r>
    </w:p>
    <w:p>
      <w:pPr>
        <w:pStyle w:val="Normal"/>
      </w:pPr>
      <w:r>
        <w:t xml:space="preserve">**Answer: (E) It is impossible to tell.**</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2026-04-17T11:20:55Z</dcterms:modified>
  <cp:category/>
</cp:coreProperties>
</file>