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(B)**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Confidence intervals should be interpreted as showing the **range of effect sizes most compatible with the data, given the statistical model and assumptions**.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not the others: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Too vague. Confidence intervals do reflect uncertainty, but their main value is not just as “another p-value”; they provide an estimated **magnitude and precision** of the effect.</w:t>
      </w:r>
    </w:p>
    <w:p>
      <w:pPr>
        <w:pStyle w:val="Normal"/>
      </w:pPr>
      <w:r>
        <w:t xml:space="preserve">- **(C)** This is a common misuse. Reducing a confidence interval to whether it contains the null value turns it into a disguised significance test, which misses the point of estimation.</w:t>
      </w:r>
    </w:p>
    <w:p>
      <w:pPr>
        <w:pStyle w:val="Normal"/>
      </w:pPr>
      <w:r>
        <w:t xml:space="preserve">- **(D)** Incorrect. While confidence intervals can be misinterpreted, they are still very useful when properly understood and reported.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choice is **(B)**.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2026-04-17T10:48:25Z</dcterms:modified>
  <cp:category/>
</cp:coreProperties>
</file>