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 in Rochon et al. (2018) compares how well different normality tests perform under a variety of non-normal distributions and sample sizes. For each distribution, the table reports the **empirical power** of the tests, that is, the proportion of simulated samples in which the test correctly rejected the null hypothesis of normality. The rows give the **sample size** \(n\), and the second column describes the specific form of the alternative distribution being studied.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As one example, consider the **lognormal distribution**. A lognormal distribution is positively skewed, so it is a clear non-normal alternative. In the second column, the parameters describe the underlying normal distribution on the log scale: if \(Y \sim N(\mu,\sigma^2)\), then \(X = e^Y\) has a lognormal distribution. Thus, \(\mu\) is the mean of \(\log(X)\) and \(\sigma\) is the standard deviation of \(\log(X)\). Larger \(\sigma\) corresponds to stronger skewness and therefore a greater departure from normality.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table shows that for the lognormal case, the power of the normality tests generally **increases with sample size** and **increases as the distribution becomes more skewed**. For small samples, the tests may have only moderate ability to detect non-normality when the departure from normality is mild. However, when \(n\) becomes larger, the rejection rates rise substantially, often approaching 1 for strongly skewed lognormal distributions. This indicates that all tests become more sensitive with more data, but the extent of power differs across tests.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Overall, for the lognormal distribution, the table suggests that the tests are effective at identifying non-normality caused by right skewness, especially at moderate to large sample sizes, and especially when the log-scale variance parameter is large. This illustrates the general message of the table: the ability of a normality test to detect non-normality depends both on **sample size** and on the **type and severity of the departure from normality**.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2026-04-17T10:52:02Z</dcterms:modified>
  <cp:category/>
</cp:coreProperties>
</file>