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There is not enough information provided to determine the correct option.  </w:t>
      </w:r>
    </w:p>
    <w:p>
      <w:pPr>
        <w:pStyle w:val="Normal"/>
      </w:pPr>
      <w:r>
        <w:t xml:space="preserve"/>
      </w:r>
    </w:p>
    <w:p>
      <w:pPr>
        <w:pStyle w:val="Normal"/>
      </w:pPr>
      <w:r>
        <w:t xml:space="preserve">To answer this question, I would need the data set or summary statistics from “question 7” (specifically the sample mean and the individual observations) in order to count how many observations lie at least two units above the sample mean, or two standard deviations above the mean—depending on the intended interpretation.</w:t>
      </w:r>
    </w:p>
    <w:p>
      <w:pPr>
        <w:pStyle w:val="Normal"/>
      </w:pPr>
      <w:r>
        <w:t xml:space="preserve"/>
      </w:r>
    </w:p>
    <w:p>
      <w:pPr>
        <w:pStyle w:val="Normal"/>
      </w:pPr>
      <w:r>
        <w:t xml:space="preserve">Please provide the data or the full text of question 7 so I can compute the correct choice among (A) 0, (B) 1, (C) 2, or (D) 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2026-04-15T11:15:55Z</dcterms:modified>
  <cp:category/>
</cp:coreProperties>
</file>