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Without seeing the actual scatterplot, the best you can do is reason based on typical exam patterns: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If the points lie close to a straight line sloping upward, the correlation is close to 1 → choose (C).</w:t>
      </w:r>
    </w:p>
    <w:p>
      <w:pPr>
        <w:pStyle w:val="Normal"/>
      </w:pPr>
      <w:r>
        <w:t xml:space="preserve">- If they lie close to a straight line sloping downward, the correlation is close to -1 → choose (A).</w:t>
      </w:r>
    </w:p>
    <w:p>
      <w:pPr>
        <w:pStyle w:val="Normal"/>
      </w:pPr>
      <w:r>
        <w:t xml:space="preserve">- If there is a moderate upward linear trend with noticeable scatter, correlation is about 0.5 → choose (D).</w:t>
      </w:r>
    </w:p>
    <w:p>
      <w:pPr>
        <w:pStyle w:val="Normal"/>
      </w:pPr>
      <w:r>
        <w:t xml:space="preserve">- If there is a moderate downward linear trend with noticeable scatter, correlation is about -0.5 → choose (B).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only the answer choices and usual exam design, such questions almost always accompany a clearly *strong* linear pattern. If the plot shows a tight, nearly linear upward trend, the correct answer is (C) 1. If it is a tight, nearly linear downward trend, the correct answer is (A) -1.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2026-04-16T14:06:16Z</dcterms:modified>
  <cp:category/>
</cp:coreProperties>
</file>