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answers are: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**(C) the expected y value when x is zero**, and  </w:t>
      </w:r>
    </w:p>
    <w:p>
      <w:pPr>
        <w:pStyle w:val="Normal"/>
      </w:pPr>
      <w:r>
        <w:t xml:space="preserve">- **(D) a population parameter** (when we refer to the true, underlying intercept in the population model).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standard simple linear regression model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Y = \beta_0 + \beta_1 X + \varepsilon,</w:t>
      </w:r>
    </w:p>
    <w:p>
      <w:pPr>
        <w:pStyle w:val="Normal"/>
      </w:pPr>
      <w:r>
        <w:t xml:space="preserve">\]  </w:t>
      </w:r>
    </w:p>
    <w:p>
      <w:pPr>
        <w:pStyle w:val="Normal"/>
      </w:pPr>
      <w:r>
        <w:t xml:space="preserve">the intercept \(\beta_0\) is the **expected value of \(Y\) when \(X = 0\)**, i.e. \(E[Y \mid X = 0] = \beta_0\). That matches option **(C)**.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Moreover, \(\beta_0\) is a **population parameter** in the theoretical model (as opposed to its estimate \(\hat{\beta}_0\) from sample data). That matches option **(D)**.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Thus, the best answer acknowledging both interpretation and statistical role is: **(C) and (D)**.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2026-04-15T11:19:03Z</dcterms:modified>
  <cp:category/>
</cp:coreProperties>
</file>