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false positive rate is the probability that the test is positive given that the person does **not** have bowel cancer: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 = P(\text{Test } + \mid \text{Cancer } N)</w:t>
      </w:r>
    </w:p>
    <w:p>
      <w:pPr>
        <w:pStyle w:val="Normal"/>
      </w:pPr>
      <w:r>
        <w:t xml:space="preserve">= \frac{\text{False positives}}{\text{All non-cases}}</w:t>
      </w:r>
    </w:p>
    <w:p>
      <w:pPr>
        <w:pStyle w:val="Normal"/>
      </w:pPr>
      <w:r>
        <w:t xml:space="preserve">= \frac{18}{18 + 182}</w:t>
      </w:r>
    </w:p>
    <w:p>
      <w:pPr>
        <w:pStyle w:val="Normal"/>
      </w:pPr>
      <w:r>
        <w:t xml:space="preserve">= \frac{18}{200}</w:t>
      </w:r>
    </w:p>
    <w:p>
      <w:pPr>
        <w:pStyle w:val="Normal"/>
      </w:pPr>
      <w:r>
        <w:t xml:space="preserve">= 0.09.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false positive rate is **0.09 (9%)**.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2026-04-15T11:01:11Z</dcterms:modified>
  <cp:category/>
</cp:coreProperties>
</file>