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(B) Not 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student bases the conclusion only on two extreme observations (a couple of very fast times for the old formula and the single slowest time for the new formula).  </w:t>
      </w:r>
    </w:p>
    <w:p>
      <w:pPr>
        <w:pStyle w:val="Normal"/>
      </w:pPr>
      <w:r>
        <w:t xml:space="preserve">Comparing treatments using isolated minimum/maximum values ignores the overall distributions (centers, spreads, and most of the data), so it cannot justify the claim that the old formula works better.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2026-04-15T12:39:11Z</dcterms:modified>
  <cp:category/>
</cp:coreProperties>
</file>