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As age increases, lower (more negative) standardized scores indicate lower bone density.  </w:t>
      </w:r>
    </w:p>
    <w:p>
      <w:pPr>
        <w:pStyle w:val="Normal"/>
      </w:pPr>
      <w:r>
        <w:t xml:space="preserve">We are looking for a negative association between age (x-axis) and bone density (y-axis).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- Graph A shows a clear downward trend: as age increases, bone density scores decrease.</w:t>
      </w:r>
    </w:p>
    <w:p>
      <w:pPr>
        <w:pStyle w:val="Normal"/>
      </w:pPr>
      <w:r>
        <w:t xml:space="preserve">- Graph B shows an upward trend (higher scores at older ages), the opposite of what we want.</w:t>
      </w:r>
    </w:p>
    <w:p>
      <w:pPr>
        <w:pStyle w:val="Normal"/>
      </w:pPr>
      <w:r>
        <w:t xml:space="preserve">- Graph C shows no clear trend with age.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Correct choice: **(A) Graph A.**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2026-04-15T12:15:06Z</dcterms:modified>
  <cp:category/>
</cp:coreProperties>
</file>