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(C) Graph C.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  </w:t>
      </w:r>
    </w:p>
    <w:p>
      <w:pPr>
        <w:pStyle w:val="Normal"/>
      </w:pPr>
      <w:r>
        <w:t xml:space="preserve">The population distribution is strongly right‑skewed with mean 6.4 and relatively large standard deviation (4.1). A random sample of size 500 should have a histogram that roughly reflects this shape—skewed right with substantial spread and tail to the right.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Graph A is more irregular, multi‑modal, and has too many gaps, suggesting either a much smaller sample or a different generating process.  </w:t>
      </w:r>
    </w:p>
    <w:p>
      <w:pPr>
        <w:pStyle w:val="Normal"/>
      </w:pPr>
      <w:r>
        <w:t xml:space="preserve">- Graph B is nearly symmetric and concentrated, more consistent with a sampling distribution of the sample mean rather than raw data from a skewed population.  </w:t>
      </w:r>
    </w:p>
    <w:p>
      <w:pPr>
        <w:pStyle w:val="Normal"/>
      </w:pPr>
      <w:r>
        <w:t xml:space="preserve">- Graph C is a unimodal right‑skewed histogram with spread and tail similar to the population, matching what we expect from 500 observations drawn from that population.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2026-04-15T12:30:50Z</dcterms:modified>
  <cp:category/>
</cp:coreProperties>
</file>