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null hypothesis \(H_0\): the circuit is good.</w:t>
      </w:r>
    </w:p>
    <w:p>
      <w:pPr>
        <w:pStyle w:val="Normal"/>
      </w:pPr>
      <w:r>
        <w:t xml:space="preserve">- The alternative hypothesis \(H_1\): the circuit is defective.</w:t>
      </w:r>
    </w:p>
    <w:p>
      <w:pPr>
        <w:pStyle w:val="Normal"/>
      </w:pPr>
      <w:r>
        <w:t xml:space="preserve">- “Rejecting the null hypothesis” means the electrician concludes, based on the test result, that the circuit is defective.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as with any hypothesis test, there is a chance of error (Type I error: rejecting a true null). Thus, even if the electrician rejects \(H_0\), it is still possible that the circuit is actually good.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interpretation is:  </w:t>
      </w:r>
    </w:p>
    <w:p>
      <w:pPr>
        <w:pStyle w:val="Normal"/>
      </w:pPr>
      <w:r>
        <w:t xml:space="preserve">**(B) The electrician decides that the circuit is defective, but it could be good.**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2026-04-15T12:34:59Z</dcterms:modified>
  <cp:category/>
</cp:coreProperties>
</file>