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wrist circumferences of newborn female infants should be: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strictly positive and within a fairly narrow range,  </w:t>
      </w:r>
    </w:p>
    <w:p>
      <w:pPr>
        <w:pStyle w:val="Normal"/>
      </w:pPr>
      <w:r>
        <w:t xml:space="preserve">- approximately bell‐shaped (biological measurements often are),  </w:t>
      </w:r>
    </w:p>
    <w:p>
      <w:pPr>
        <w:pStyle w:val="Normal"/>
      </w:pPr>
      <w:r>
        <w:t xml:space="preserve">- not including extreme outliers or large skewness.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Among the four options, Histogram I is unimodal, roughly symmetric, and concentrated in a narrow interval of positive values. The others either show strong skewness, a gap and outlier (II), mass only at larger values (III), or a nearly uniform spread (IV), which are less realistic for such a physiological measurement.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choice: (A) Histogram I.**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2026-04-15T12:32:55Z</dcterms:modified>
  <cp:category/>
</cp:coreProperties>
</file>