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variable of interest is a quantitative proportion (between 0 and 1).  </w:t>
      </w:r>
    </w:p>
    <w:p>
      <w:pPr>
        <w:pStyle w:val="Normal"/>
      </w:pPr>
      <w:r>
        <w:t xml:space="preserve">To describe its **shape, center, and spread**, the appropriate display is a **histogram of the proportions**, not a bar chart by player or an ordered bar chart.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and D: bar charts by player (unordered or ordered); these show individuals, not the distribution.</w:t>
      </w:r>
    </w:p>
    <w:p>
      <w:pPr>
        <w:pStyle w:val="Normal"/>
      </w:pPr>
      <w:r>
        <w:t xml:space="preserve">- B: again bars correspond to players, equally spaced, not value intervals; looks like a bar chart of individuals, not a histogram.</w:t>
      </w:r>
    </w:p>
    <w:p>
      <w:pPr>
        <w:pStyle w:val="Normal"/>
      </w:pPr>
      <w:r>
        <w:t xml:space="preserve">- C: has the numeric scale on the horizontal axis (0.05, 0.10, …, 0.55) with counts on the vertical axis, with bins aggregating players by their proportion of hits. This is a proper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best display to describe the distribution’s shape, center, and spread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C**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2026-04-16T14:13:58Z</dcterms:modified>
  <cp:category/>
</cp:coreProperties>
</file>