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Section A’s boxplot is clearly more spread out than Section B’s: its interquartile range and overall range are both much larger. Greater spread in the distribution implies a larger standard deviation.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(A) Section A.**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2026-04-15T12:10:58Z</dcterms:modified>
  <cp:category/>
</cp:coreProperties>
</file>