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In a boxplot, 25% of the data lie below the lower edge of the box (the first quartile).  </w:t>
      </w:r>
    </w:p>
    <w:p>
      <w:pPr>
        <w:pStyle w:val="Normal"/>
      </w:pPr>
      <w:r>
        <w:t xml:space="preserve"/>
      </w:r>
    </w:p>
    <w:p>
      <w:pPr>
        <w:pStyle w:val="Normal"/>
      </w:pPr>
      <w:r>
        <w:t xml:space="preserve">For Section A, the lower whisker extends down to roughly 20, and the first quartile is at about 50, so the 30 mark lies between the minimum and Q1. Thus, less than 25% of Section A’s students scored ≤ 30.  </w:t>
      </w:r>
    </w:p>
    <w:p>
      <w:pPr>
        <w:pStyle w:val="Normal"/>
      </w:pPr>
      <w:r>
        <w:t xml:space="preserve"/>
      </w:r>
    </w:p>
    <w:p>
      <w:pPr>
        <w:pStyle w:val="Normal"/>
      </w:pPr>
      <w:r>
        <w:t xml:space="preserve">For Section B, the lower whisker starts at about 40, which is above 30, so 0% of Section B’s students scored ≤ 30.  </w:t>
      </w:r>
    </w:p>
    <w:p>
      <w:pPr>
        <w:pStyle w:val="Normal"/>
      </w:pPr>
      <w:r>
        <w:t xml:space="preserve"/>
      </w:r>
    </w:p>
    <w:p>
      <w:pPr>
        <w:pStyle w:val="Normal"/>
      </w:pPr>
      <w:r>
        <w:t xml:space="preserve">Since Section A has some students at or below 30 while Section B has none, the percentage is greater in Section A.</w:t>
      </w:r>
    </w:p>
    <w:p>
      <w:pPr>
        <w:pStyle w:val="Normal"/>
      </w:pPr>
      <w:r>
        <w:t xml:space="preserve"/>
      </w:r>
    </w:p>
    <w:p>
      <w:pPr>
        <w:pStyle w:val="Normal"/>
      </w:pPr>
      <w:r>
        <w:t xml:space="preserve">**Answer: (A) Section 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2026-04-15T12:19:18Z</dcterms:modified>
  <cp:category/>
</cp:coreProperties>
</file>