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**(A)**.</w:t>
      </w:r>
    </w:p>
    <w:p>
      <w:pPr>
        <w:pStyle w:val="Normal"/>
      </w:pPr>
      <w:r>
        <w:t xml:space="preserve"/>
      </w:r>
    </w:p>
    <w:p>
      <w:pPr>
        <w:pStyle w:val="Normal"/>
      </w:pPr>
      <w:r>
        <w:t xml:space="preserve">A key reason to conduct an observational study instead of an experiment is that experiments may be infeasible, unethical, or too artificial, whereas observational studies often take place in natural settings using existing populations. This frequently gives them **better external validity** (generalizability to real-world settings), even though they usually have **worse internal validity** (weaker causal identification) than well-designed experiments.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2026-04-15T11:47:17Z</dcterms:modified>
  <cp:category/>
</cp:coreProperties>
</file>