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best answer is **(B)**.</w:t>
      </w:r>
    </w:p>
    <w:p>
      <w:pPr>
        <w:pStyle w:val="Normal"/>
      </w:pPr>
      <w:r>
        <w:t xml:space="preserve"/>
      </w:r>
    </w:p>
    <w:p>
      <w:pPr>
        <w:pStyle w:val="Normal"/>
      </w:pPr>
      <w:r>
        <w:t xml:space="preserve">A confidence interval is most appropriately interpreted as the range of effect sizes that are most compatible with the observed data, under the assumed model and procedure. It emphasizes estimation (magnitude and precision of effect) rather than just testing, making (B) the conceptually correct choice.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2026-04-15T11:57:19Z</dcterms:modified>
  <cp:category/>
</cp:coreProperties>
</file>