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boxplots, **Section A** has a larger share of scores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In **Section A**, 80 is around the **median**, so about **50%** of students scored 80 or higher.</w:t>
      </w:r>
    </w:p>
    <w:p>
      <w:pPr>
        <w:pStyle w:val="Normal"/>
      </w:pPr>
      <w:r>
        <w:t xml:space="preserve">- In **Section B**, 80 is **below the median** (closer to the lower half of the box), so **more than 50%** of students scored 80 or higher.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greater percentage is in **(B) Section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2026-04-15T16:52:09Z</dcterms:modified>
  <cp:category/>
</cp:coreProperties>
</file>