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**(A) 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sample data show that the **new formula has a lower average time to relief** than the old formula, and the difference appears to be on the order of **about 20 minutes**. Since the people were **randomly assigned** to treatments, it is reasonable to generalize this difference causally: patients taking the new formula would tend to feel relief about 20 minutes sooner than those taking the old formula.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2026-04-15T16:37:33Z</dcterms:modified>
  <cp:category/>
</cp:coreProperties>
</file>