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Not Valid.**</w:t>
      </w:r>
    </w:p>
    <w:p>
      <w:pPr>
        <w:pStyle w:val="Normal"/>
      </w:pPr>
      <w:r>
        <w:t xml:space="preserve"/>
      </w:r>
    </w:p>
    <w:p>
      <w:pPr>
        <w:pStyle w:val="Normal"/>
      </w:pPr>
      <w:r>
        <w:t xml:space="preserve">The fact that the two groups have different sample sizes does **not** mean there is no fair way to compare the formulas. Random assignment makes the groups comparable in expectation, and differences in sample size are common in experiments. One should compare the **outcomes** (for example, mean or median time to relief, and variability), not dismiss the comparison just because \(n=100\) and \(n=150\).</w:t>
      </w:r>
    </w:p>
    <w:p>
      <w:pPr>
        <w:pStyle w:val="Normal"/>
      </w:pPr>
      <w:r>
        <w:t xml:space="preserve"/>
      </w:r>
    </w:p>
    <w:p>
      <w:pPr>
        <w:pStyle w:val="Normal"/>
      </w:pPr>
      <w:r>
        <w:t xml:space="preserve">So the student’s conclusion is **not 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2026-04-15T17:08:46Z</dcterms:modified>
  <cp:category/>
</cp:coreProperties>
</file>