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Class B, because more of its scores are far from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 measures how spread out the data are around the mean. In **Class B**, the scores are concentrated in two clusters far apart from each other, with many observations away from the center, so its spread is largest.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the others are not best:</w:t>
      </w:r>
    </w:p>
    <w:p>
      <w:pPr>
        <w:pStyle w:val="Normal"/>
      </w:pPr>
      <w:r>
        <w:t xml:space="preserve">- **A**: has a tall peak but most scores are near the center, so SD is not the largest.</w:t>
      </w:r>
    </w:p>
    <w:p>
      <w:pPr>
        <w:pStyle w:val="Normal"/>
      </w:pPr>
      <w:r>
        <w:t xml:space="preserve">- **C**: having more different scores does not necessarily mean more spread.</w:t>
      </w:r>
    </w:p>
    <w:p>
      <w:pPr>
        <w:pStyle w:val="Normal"/>
      </w:pPr>
      <w:r>
        <w:t xml:space="preserve">- **D**: being bumpy/irregular does not determine SD.</w:t>
      </w:r>
    </w:p>
    <w:p>
      <w:pPr>
        <w:pStyle w:val="Normal"/>
      </w:pPr>
      <w:r>
        <w:t xml:space="preserve">- **E**: looks fairly spread out and roughly normal, but not as extreme as Class B.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answer is **B**.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2026-04-15T17:01:31Z</dcterms:modified>
  <cp:category/>
</cp:coreProperties>
</file>