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**Correct answer: (A)**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A statistically significant **correlation** between income and recycling means the two variables are associated in the sample, but it does **not** establish causation. Because this was an observational survey of randomly selected adults, we cannot conclude that higher income **causes** more recycling. There could be confounding factors, reverse causation is unlikely but still no causal claim is justified, and the design does not support causal inference.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**(B)** is incorrect because a sample of 1,000 randomly selected adults is generally large enough to study population relationships.</w:t>
      </w:r>
    </w:p>
    <w:p>
      <w:pPr>
        <w:pStyle w:val="Normal"/>
      </w:pPr>
      <w:r>
        <w:t xml:space="preserve">- **(C)** is incorrect because it claims causation (“influences”), which the data do not support.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2026-04-15T16:58:26Z</dcterms:modified>
  <cp:category/>
</cp:coreProperties>
</file>