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A**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**Why:** The key issue in generalizing survey results is whether the sample is **representative** of the full population of dormitory students.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A random sample of 500 from 5,000 students is not a problem for generalization by itself. Sampling only 500 is often acceptable if the sample is random.</w:t>
      </w:r>
    </w:p>
    <w:p>
      <w:pPr>
        <w:pStyle w:val="Normal"/>
      </w:pPr>
      <w:r>
        <w:t xml:space="preserve">- **(B)** Restricting the survey to only first-year students would bias the results and prevent generalizing to all dormitory students.</w:t>
      </w:r>
    </w:p>
    <w:p>
      <w:pPr>
        <w:pStyle w:val="Normal"/>
      </w:pPr>
      <w:r>
        <w:t xml:space="preserve">- **(C)** A low response rate can create **nonresponse bias**, making generalization questionable.</w:t>
      </w:r>
    </w:p>
    <w:p>
      <w:pPr>
        <w:pStyle w:val="Normal"/>
      </w:pPr>
      <w:r>
        <w:t xml:space="preserve">- **(D)** Same as (C), so it also affects generalization.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one that **does NOT affect** the ability to generalize is **(A)**.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2026-04-15T17:07:44Z</dcterms:modified>
  <cp:category/>
</cp:coreProperties>
</file>