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**Correct answer: (C) Neither method is appropriate for making a prediction for the year 2050 based on these data.**</w:t>
      </w:r>
    </w:p>
    <w:p>
      <w:pPr>
        <w:pStyle w:val="Normal"/>
      </w:pPr>
      <w:r>
        <w:t xml:space="preserve"/>
      </w:r>
    </w:p>
    <w:p>
      <w:pPr>
        <w:pStyle w:val="Normal"/>
      </w:pPr>
      <w:r>
        <w:t xml:space="preserve">### Why?</w:t>
      </w:r>
    </w:p>
    <w:p>
      <w:pPr>
        <w:pStyle w:val="Normal"/>
      </w:pPr>
      <w:r>
        <w:t xml:space="preserve">The regression equation was fit using data from **1910 to 2000**. Predicting for **2050** would be a case of **extrapolation**, since 2050 lies well outside the range of observed data.</w:t>
      </w:r>
    </w:p>
    <w:p>
      <w:pPr>
        <w:pStyle w:val="Normal"/>
      </w:pPr>
      <w:r>
        <w:t xml:space="preserve"/>
      </w:r>
    </w:p>
    <w:p>
      <w:pPr>
        <w:pStyle w:val="Normal"/>
      </w:pPr>
      <w:r>
        <w:t xml:space="preserve">Even though you could mechanically plug 2050 into the regression equation or read a value off the line, **the prediction would not be reliable** because the linear trend observed over 1910–2000 may not continue for another 50 years. In practice, both methods are based on the same model, and both suffer from the same problem: **using the regression line beyond the data range**.</w:t>
      </w:r>
    </w:p>
    <w:p>
      <w:pPr>
        <w:pStyle w:val="Normal"/>
      </w:pPr>
      <w:r>
        <w:t xml:space="preserve"/>
      </w:r>
    </w:p>
    <w:p>
      <w:pPr>
        <w:pStyle w:val="Normal"/>
      </w:pPr>
      <w:r>
        <w:t xml:space="preserve">So the best statistical answer is **C**.</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2026-04-15T16:59:27Z</dcterms:modified>
  <cp:category/>
</cp:coreProperties>
</file>