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The electrician decides that the circuit is defective, but it could be good.**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Why:</w:t>
      </w:r>
    </w:p>
    <w:p>
      <w:pPr>
        <w:pStyle w:val="Normal"/>
      </w:pPr>
      <w:r>
        <w:t xml:space="preserve">In hypothesis testing, **rejecting the null hypothesis does not prove the alternative with certainty**. It means there is enough evidence to *decide* against the null.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**Null hypothesis \(H_0\):** the circuit is good</w:t>
      </w:r>
    </w:p>
    <w:p>
      <w:pPr>
        <w:pStyle w:val="Normal"/>
      </w:pPr>
      <w:r>
        <w:t xml:space="preserve">- **Alternative hypothesis \(H_1\):** the circuit is defective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electrician **rejects \(H_0\)**, then he concludes the circuit is defective. However, since tests can make errors, the circuit **could still actually be good** (this would be a Type I error).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decision is:</w:t>
      </w:r>
    </w:p>
    <w:p>
      <w:pPr>
        <w:pStyle w:val="Normal"/>
      </w:pPr>
      <w:r>
        <w:t xml:space="preserve">- **“defective” based on the test**</w:t>
      </w:r>
    </w:p>
    <w:p>
      <w:pPr>
        <w:pStyle w:val="Normal"/>
      </w:pPr>
      <w:r>
        <w:t xml:space="preserve">- **not “definitely defective”**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**(B)** is correct.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2026-04-15T16:57:23Z</dcterms:modified>
  <cp:category/>
</cp:coreProperties>
</file>