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 It is impossible to tell.**</w:t>
      </w:r>
    </w:p>
    <w:p>
      <w:pPr>
        <w:pStyle w:val="Normal"/>
      </w:pPr>
      <w:r>
        <w:t xml:space="preserve"/>
      </w:r>
    </w:p>
    <w:p>
      <w:pPr>
        <w:pStyle w:val="Normal"/>
      </w:pPr>
      <w:r>
        <w:t xml:space="preserve">From the boxplots, we can compare medians, quartiles, and overall spread, but not the exact percentage of students scoring **at or below 30** unless 30 is clearly identified relative to the quartiles or the full distribution. Since 30 lies somewhere in the lower tail for both sections and the boxplots do not give enough detail about how values are distributed below that point, we cannot determine which section has the greater percentage.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2026-04-15T16:33:25Z</dcterms:modified>
  <cp:category/>
</cp:coreProperties>
</file>