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Confidence intervals are best interpreted as a range of **effect sizes parameter values that are most compatible with the observed data under the assumed model**. They provide information about both the estimated effect and its precision, rather than just a binary significant/not-significant conclusion.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too vague and not the best interpretation.</w:t>
      </w:r>
    </w:p>
    <w:p>
      <w:pPr>
        <w:pStyle w:val="Normal"/>
      </w:pPr>
      <w:r>
        <w:t xml:space="preserve">- **(C)** is a common use, but it is not the full or primary interpretation of confidence intervals.</w:t>
      </w:r>
    </w:p>
    <w:p>
      <w:pPr>
        <w:pStyle w:val="Normal"/>
      </w:pPr>
      <w:r>
        <w:t xml:space="preserve">- **(D)** is incorrect; confidence intervals are useful when interpreted properly.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2026-04-15T16:11:14Z</dcterms:modified>
  <cp:category/>
</cp:coreProperties>
</file>