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Wasserstein, Schirm, and Lazar argue that phrases like “statistically significant” and “nonsignificant” are too often misunderstood as if they provide a binary verdict about whether a result is true, important, or worth acting on. In reality, a p-value does **not** measure the size or importance of an effect, the probability that the null hypothesis is true, or the probability that the result will replicate. Because the threshold p &lt; 0.05 encourages a yes/no mindset, it can distort scientific thinking, promote “bright-line” decisions, and lead to overclaiming from weak evidence or dismissing practically meaningful effects that miss an arbitrary cutoff.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What would be better is to report and interpret results in a more informative, contextual way. For example: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**Emphasize effect sizes and confidence intervals** rather than just whether p crosses 0.05. This gives information about the magnitude of the association and the uncertainty around it.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**Describe the evidence and practical relevance in context**, including scientific, clinical, or policy importance. A small p-value does not automatically imply a meaningful effect, and a large p-value does not automatically imply no effect.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**Treat p-values as continuous measures of compatibility with the null model**, not as a pass/fail rule. This encourages graded interpretation rather than dichotomous conclusions.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Overall, their main point is that statistical inference should be more nuanced and transparent, focusing on estimation, uncertainty, and substantive significance rather than a rigid significance threshold.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2026-04-15T16:06:00Z</dcterms:modified>
  <cp:category/>
</cp:coreProperties>
</file>