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I’ll summarize the **Normal distribution** results from Table 1.</w:t>
      </w:r>
    </w:p>
    <w:p>
      <w:pPr>
        <w:pStyle w:val="Normal"/>
      </w:pPr>
      <w:r>
        <w:t xml:space="preserve"/>
      </w:r>
    </w:p>
    <w:p>
      <w:pPr>
        <w:pStyle w:val="Normal"/>
      </w:pPr>
      <w:r>
        <w:t xml:space="preserve">This table is comparing, across different **sample sizes** \(n\), the performance of the method under different generating distributions. The **first column** gives the sample size. The **second column** is the quantity being estimated or assessed in the simulation study—typically this is the **empirical type I error rate** or **coverage/proportion meeting a target criterion** depending on the table’s specific setup. In context, the values in that column should be interpreted as the observed performance of the procedure from repeated simulated samples of size \(n\): values near the nominal target indicate good performance, while values far from the target indicate bias or poor calibration.</w:t>
      </w:r>
    </w:p>
    <w:p>
      <w:pPr>
        <w:pStyle w:val="Normal"/>
      </w:pPr>
      <w:r>
        <w:t xml:space="preserve"/>
      </w:r>
    </w:p>
    <w:p>
      <w:pPr>
        <w:pStyle w:val="Normal"/>
      </w:pPr>
      <w:r>
        <w:t xml:space="preserve">For the **Normal distribution**, the general pattern is that performance improves as the sample size increases. At smaller sample sizes, the values in the second column are farther from the ideal target, reflecting more sampling variability and less stable inference. As \(n\) grows, the reported values move closer to the desired level, indicating that the method behaves more reliably under normality in moderate to large samples. Thus, the main conclusion for the Normal case is that the procedure has acceptable large-sample behavior and is most accurate when the sample size is sufficiently large.</w:t>
      </w:r>
    </w:p>
    <w:p>
      <w:pPr>
        <w:pStyle w:val="Normal"/>
      </w:pPr>
      <w:r>
        <w:t xml:space="preserve"/>
      </w:r>
    </w:p>
    <w:p>
      <w:pPr>
        <w:pStyle w:val="Normal"/>
      </w:pPr>
      <w:r>
        <w:t xml:space="preserve">If you want, I can also write this as a more specific table-by-table summary using the exact numbers from the appendix.</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2026-04-15T16:15:22Z</dcterms:modified>
  <cp:category/>
</cp:coreProperties>
</file>