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coefficient of determination \(R^2\) is a value between **0 and 1** (or 0% and 100%) and is typically described as weak/moderate/strong based on magnitude (e.g., &gt;0.7 often considered strong in many contexts).  </w:t>
      </w:r>
    </w:p>
    <w:p>
      <w:pPr>
        <w:pStyle w:val="Normal"/>
      </w:pPr>
      <w:r>
        <w:t xml:space="preserve">There is **no standard interpretation** in which “for 16” (without specifying \(R^2\) or another quantity) would imply a strong coefficient of determination. Therefore, the statement as written is **false**.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2026-04-16T15:43:08Z</dcterms:modified>
  <cp:category/>
</cp:coreProperties>
</file>