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From the table, the false positive rate (FPR) is the proportion of people **without** bowel cancer who test **positive**: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\text{FPR}=\frac{\text{False Positives}}{\text{True Negatives}+\text{False Positives}}</w:t>
      </w:r>
    </w:p>
    <w:p>
      <w:pPr>
        <w:pStyle w:val="Normal"/>
      </w:pPr>
      <w:r>
        <w:t xml:space="preserve">=\frac{18}{18+182}</w:t>
      </w:r>
    </w:p>
    <w:p>
      <w:pPr>
        <w:pStyle w:val="Normal"/>
      </w:pPr>
      <w:r>
        <w:t xml:space="preserve">=\frac{18}{200}=0.09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the false positive rate is **0.09 (9%)**.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2026-04-16T15:09:36Z</dcterms:modified>
  <cp:category/>
</cp:coreProperties>
</file>