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compare the percentages scoring **at or above 80**, look at where **80** falls relative to each boxplot.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**Section A:** The box (middle 50%) runs approximately from **40 to 120**, and the **median** is around **80**. Since the median is at about 80, **at least half** of Section A scores are **≥ 80** (likely a bit more, since the upper whisker extends farther).</w:t>
      </w:r>
    </w:p>
    <w:p>
      <w:pPr>
        <w:pStyle w:val="Normal"/>
      </w:pPr>
      <w:r>
        <w:t xml:space="preserve">- **Section B:** The box runs approximately from **60 to 105**, and the **median** is around **80–85**. That means **slightly more than half** are **≥ 80**, but the distribution above 80 isn’t as extensive as in Section A (upper whisker is shorter).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Overall, **Section A** shows a **greater or comparable** portion above 80, and it is clearly at least as large as Section B, with the upper tail extending farther.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✅ **Answer: (A) Section A.**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2026-04-16T16:12:46Z</dcterms:modified>
  <cp:category/>
</cp:coreProperties>
</file>