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conclusion is **not** valid. Different sample sizes (100 vs. 150) **do not automatically make it “unfair”** to compare the two medications. In a random assignment experiment, we can compare the groups using appropriate summary statistics (e.g., sample means/medians) and inferential methods (e.g., a two-sample t-test or other two-sample procedure). What matters is that the groups are **randomly assigned**, not that their sizes are equal.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2026-04-16T16:10:06Z</dcterms:modified>
  <cp:category/>
</cp:coreProperties>
</file>