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**(D)** gives the most complete and statistically appropriate description of the histogram: it notes that the distribution is **approximately symmetric and bell-shaped**, identifies the **typical value** (around **7 hours**), gives information about **spread/range** (roughly from **3 to 10** hours, i.e., about **7 hours** total), and correctly mentions an **outlier around 3 hours**.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contrast, **(A)** is too vague/incorrect (it talks about bar heights oddly and doesn’t capture the distribution’s overall shape), **(B)** claims it is exactly normal with specific mean/SD values not justified by the plot, and **(C)** makes an overly specific claim (“one student must…”) that isn’t supported from the histogram alone.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2026-04-16T16:16:01Z</dcterms:modified>
  <cp:category/>
</cp:coreProperties>
</file>