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statistically significant, strong positive correlation shows an association between income and recycling behavior, but because the researchers used an observational survey, the design does **not** support causal inference. Therefore, we **cannot conclude that earning more money causes more recycling**.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2026-04-16T16:12:14Z</dcterms:modified>
  <cp:category/>
</cp:coreProperties>
</file>