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conclusion is **(B) The sample size may be too small to detect a statistically significant difference.**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Because the hypothesis test was conducted correctly and found **no statistically significant difference**, the graduate student can only conclude that there is **insufficient evidence** in this sample to claim a difference in mean enzyme levels. This does **not** prove the herbicide has no effect; it may simply be that the study had **low power** (e.g., due to limited sample size), so a real effect could have gone undetected.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(A) is incorrect: “no significant difference” does not imply the researcher must be misinterpreting the results.  </w:t>
      </w:r>
    </w:p>
    <w:p>
      <w:pPr>
        <w:pStyle w:val="Normal"/>
      </w:pPr>
      <w:r>
        <w:t xml:space="preserve">- (C) is incorrect: failure to find significance does **not** establish the null as true (“must be true”).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2026-04-16T15:59:54Z</dcterms:modified>
  <cp:category/>
</cp:coreProperties>
</file>