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generalize the results to **all** dormitory students, we mainly need a **representative sample** and a sufficiently high/appropriate **response** rate (so nonresponse doesn’t bias the results).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Sample size/ how many were sampled: sending 500 out of 5000 does not by itself prevent generalization, as long as the sample is random.</w:t>
      </w:r>
    </w:p>
    <w:p>
      <w:pPr>
        <w:pStyle w:val="Normal"/>
      </w:pPr>
      <w:r>
        <w:t xml:space="preserve">- **(B)** Surveying only first-year students means the sample is **not representative** of all dormitory students, so this *does* affect the ability to generalize.</w:t>
      </w:r>
    </w:p>
    <w:p>
      <w:pPr>
        <w:pStyle w:val="Normal"/>
      </w:pPr>
      <w:r>
        <w:t xml:space="preserve">- **(C)** Only 160 of the 500 responded: a lower response rate can harm generalizability if nonrespondents differ from respondents, but it’s at least about **nonresponse bias**, not inherently about sample membership.</w:t>
      </w:r>
    </w:p>
    <w:p>
      <w:pPr>
        <w:pStyle w:val="Normal"/>
      </w:pPr>
      <w:r>
        <w:t xml:space="preserve">- **(D)** is identical to **(C)** (the text duplicates), so it cannot be the “NOT” affecting factor in a meaningful way.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option that **does NOT** affect generalization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2026-04-16T16:15:29Z</dcterms:modified>
  <cp:category/>
</cp:coreProperties>
</file>