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standard deviation is larger for the section whose boxplot (spread) is wider—i.e., has a larger interquartile range and overall range.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boxplots, **Section A** has a wider spread (larger IQR and a longer range of scores) than **Section B**.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✅ **Answer: (A) Section A.**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2026-04-16T16:09:02Z</dcterms:modified>
  <cp:category/>
</cp:coreProperties>
</file>